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524E3" w14:textId="74A9964F" w:rsidR="0C2A1B16" w:rsidRDefault="0C2A1B16" w:rsidP="2B56E9EE">
      <w:pPr>
        <w:jc w:val="center"/>
        <w:rPr>
          <w:rFonts w:ascii="Calibri" w:eastAsia="Calibri" w:hAnsi="Calibri" w:cs="Calibri"/>
          <w:b/>
          <w:bCs/>
          <w:color w:val="000000" w:themeColor="text1"/>
        </w:rPr>
      </w:pPr>
      <w:r w:rsidRPr="2B56E9EE">
        <w:rPr>
          <w:rFonts w:ascii="Calibri" w:eastAsia="Calibri" w:hAnsi="Calibri" w:cs="Calibri"/>
          <w:b/>
          <w:bCs/>
          <w:color w:val="000000" w:themeColor="text1"/>
        </w:rPr>
        <w:t xml:space="preserve">Satisfactory Academic Progress </w:t>
      </w:r>
      <w:r w:rsidR="27490F4C" w:rsidRPr="2B56E9EE">
        <w:rPr>
          <w:rFonts w:ascii="Calibri" w:eastAsia="Calibri" w:hAnsi="Calibri" w:cs="Calibri"/>
          <w:b/>
          <w:bCs/>
          <w:color w:val="000000" w:themeColor="text1"/>
        </w:rPr>
        <w:t>and Your</w:t>
      </w:r>
      <w:r w:rsidR="26C1BBBC" w:rsidRPr="2B56E9EE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Pr="2B56E9EE">
        <w:rPr>
          <w:rFonts w:ascii="Calibri" w:eastAsia="Calibri" w:hAnsi="Calibri" w:cs="Calibri"/>
          <w:b/>
          <w:bCs/>
          <w:color w:val="000000" w:themeColor="text1"/>
        </w:rPr>
        <w:t>Financial Aid</w:t>
      </w:r>
    </w:p>
    <w:p w14:paraId="64050704" w14:textId="6B673004" w:rsidR="574AE59A" w:rsidRDefault="574AE59A" w:rsidP="2B56E9EE">
      <w:pPr>
        <w:jc w:val="center"/>
        <w:rPr>
          <w:rFonts w:ascii="Calibri" w:eastAsia="Calibri" w:hAnsi="Calibri" w:cs="Calibri"/>
          <w:b/>
          <w:bCs/>
          <w:color w:val="000000" w:themeColor="text1"/>
        </w:rPr>
      </w:pPr>
      <w:r w:rsidRPr="2B56E9EE">
        <w:rPr>
          <w:rFonts w:ascii="Calibri" w:eastAsia="Calibri" w:hAnsi="Calibri" w:cs="Calibri"/>
          <w:b/>
          <w:bCs/>
          <w:color w:val="000000" w:themeColor="text1"/>
        </w:rPr>
        <w:t>What you need to know....</w:t>
      </w:r>
    </w:p>
    <w:p w14:paraId="645A0725" w14:textId="774B2D6D" w:rsidR="7AB4FE7D" w:rsidRDefault="7AB4FE7D" w:rsidP="2B56E9EE">
      <w:pPr>
        <w:jc w:val="center"/>
        <w:rPr>
          <w:rFonts w:ascii="Calibri" w:eastAsia="Calibri" w:hAnsi="Calibri" w:cs="Calibri"/>
          <w:b/>
          <w:bCs/>
          <w:color w:val="000000" w:themeColor="text1"/>
        </w:rPr>
      </w:pPr>
      <w:r w:rsidRPr="2B56E9EE">
        <w:rPr>
          <w:rFonts w:ascii="Arial" w:eastAsia="Arial" w:hAnsi="Arial" w:cs="Arial"/>
          <w:color w:val="17232E"/>
          <w:sz w:val="24"/>
          <w:szCs w:val="24"/>
        </w:rPr>
        <w:t xml:space="preserve"> </w:t>
      </w:r>
    </w:p>
    <w:p w14:paraId="25738CEC" w14:textId="7EDC547C" w:rsidR="7223600E" w:rsidRDefault="7223600E" w:rsidP="2B56E9EE">
      <w:pPr>
        <w:rPr>
          <w:rFonts w:ascii="Calibri" w:eastAsia="Calibri" w:hAnsi="Calibri" w:cs="Calibri"/>
          <w:color w:val="000000" w:themeColor="text1"/>
        </w:rPr>
      </w:pPr>
      <w:r w:rsidRPr="2B56E9EE">
        <w:rPr>
          <w:rFonts w:ascii="Calibri" w:eastAsia="Calibri" w:hAnsi="Calibri" w:cs="Calibri"/>
          <w:b/>
          <w:bCs/>
          <w:color w:val="000000" w:themeColor="text1"/>
        </w:rPr>
        <w:t xml:space="preserve">What is SAP? </w:t>
      </w:r>
      <w:r w:rsidR="64785F69" w:rsidRPr="2B56E9EE">
        <w:rPr>
          <w:rFonts w:ascii="Calibri" w:eastAsia="Calibri" w:hAnsi="Calibri" w:cs="Calibri"/>
          <w:color w:val="000000" w:themeColor="text1"/>
        </w:rPr>
        <w:t xml:space="preserve">All students </w:t>
      </w:r>
      <w:r w:rsidR="68ECACAB" w:rsidRPr="2B56E9EE">
        <w:rPr>
          <w:rFonts w:ascii="Calibri" w:eastAsia="Calibri" w:hAnsi="Calibri" w:cs="Calibri"/>
          <w:color w:val="000000" w:themeColor="text1"/>
        </w:rPr>
        <w:t>enrolled in a college or university must adhere to that institution’s guidelines for what is considered “Satisfactory Academic Progress” or SAP.  For students rece</w:t>
      </w:r>
      <w:r w:rsidR="5DB17BFE" w:rsidRPr="2B56E9EE">
        <w:rPr>
          <w:rFonts w:ascii="Calibri" w:eastAsia="Calibri" w:hAnsi="Calibri" w:cs="Calibri"/>
          <w:color w:val="000000" w:themeColor="text1"/>
        </w:rPr>
        <w:t xml:space="preserve">iving financial aid, failure to do so can result in a loss of your aid. While colleges </w:t>
      </w:r>
      <w:r w:rsidR="6E4931B0" w:rsidRPr="2B56E9EE">
        <w:rPr>
          <w:rFonts w:ascii="Calibri" w:eastAsia="Calibri" w:hAnsi="Calibri" w:cs="Calibri"/>
          <w:color w:val="000000" w:themeColor="text1"/>
        </w:rPr>
        <w:t>must</w:t>
      </w:r>
      <w:r w:rsidR="5DB17BFE" w:rsidRPr="2B56E9EE">
        <w:rPr>
          <w:rFonts w:ascii="Calibri" w:eastAsia="Calibri" w:hAnsi="Calibri" w:cs="Calibri"/>
          <w:color w:val="000000" w:themeColor="text1"/>
        </w:rPr>
        <w:t xml:space="preserve"> follow federal guidelines from the Higher Education A</w:t>
      </w:r>
      <w:r w:rsidR="100D668A" w:rsidRPr="2B56E9EE">
        <w:rPr>
          <w:rFonts w:ascii="Calibri" w:eastAsia="Calibri" w:hAnsi="Calibri" w:cs="Calibri"/>
          <w:color w:val="000000" w:themeColor="text1"/>
        </w:rPr>
        <w:t xml:space="preserve">ct, they have some room for interpretation. It is essential that you are aware of </w:t>
      </w:r>
      <w:r w:rsidR="4612817E" w:rsidRPr="2B56E9EE">
        <w:rPr>
          <w:rFonts w:ascii="Calibri" w:eastAsia="Calibri" w:hAnsi="Calibri" w:cs="Calibri"/>
          <w:color w:val="000000" w:themeColor="text1"/>
        </w:rPr>
        <w:t>your college’s</w:t>
      </w:r>
      <w:r w:rsidR="7AB4FE7D" w:rsidRPr="2B56E9EE">
        <w:rPr>
          <w:rFonts w:ascii="Calibri" w:eastAsia="Calibri" w:hAnsi="Calibri" w:cs="Calibri"/>
          <w:color w:val="000000" w:themeColor="text1"/>
        </w:rPr>
        <w:t xml:space="preserve"> SAP policy</w:t>
      </w:r>
      <w:r w:rsidR="35AA63EC" w:rsidRPr="2B56E9EE">
        <w:rPr>
          <w:rFonts w:ascii="Calibri" w:eastAsia="Calibri" w:hAnsi="Calibri" w:cs="Calibri"/>
          <w:color w:val="000000" w:themeColor="text1"/>
        </w:rPr>
        <w:t xml:space="preserve">. </w:t>
      </w:r>
    </w:p>
    <w:p w14:paraId="03EB72EE" w14:textId="51968F67" w:rsidR="3AC3B202" w:rsidRDefault="3AC3B202" w:rsidP="2B56E9EE">
      <w:pPr>
        <w:rPr>
          <w:rFonts w:ascii="Calibri" w:eastAsia="Calibri" w:hAnsi="Calibri" w:cs="Calibri"/>
          <w:color w:val="000000" w:themeColor="text1"/>
        </w:rPr>
      </w:pPr>
      <w:r w:rsidRPr="2B56E9EE">
        <w:rPr>
          <w:rFonts w:ascii="Calibri" w:eastAsia="Calibri" w:hAnsi="Calibri" w:cs="Calibri"/>
          <w:b/>
          <w:bCs/>
          <w:color w:val="000000" w:themeColor="text1"/>
        </w:rPr>
        <w:t xml:space="preserve">What are the Guidelines? </w:t>
      </w:r>
    </w:p>
    <w:p w14:paraId="0CA80124" w14:textId="1578B034" w:rsidR="2E7386FE" w:rsidRDefault="2E7386FE" w:rsidP="2B56E9EE">
      <w:pPr>
        <w:rPr>
          <w:rFonts w:ascii="Calibri" w:eastAsia="Calibri" w:hAnsi="Calibri" w:cs="Calibri"/>
          <w:color w:val="000000" w:themeColor="text1"/>
        </w:rPr>
      </w:pPr>
      <w:r w:rsidRPr="2B56E9EE">
        <w:rPr>
          <w:rFonts w:ascii="Calibri" w:eastAsia="Calibri" w:hAnsi="Calibri" w:cs="Calibri"/>
          <w:b/>
          <w:bCs/>
          <w:color w:val="000000" w:themeColor="text1"/>
        </w:rPr>
        <w:t xml:space="preserve">All </w:t>
      </w:r>
      <w:r w:rsidRPr="2B56E9EE">
        <w:rPr>
          <w:rFonts w:ascii="Calibri" w:eastAsia="Calibri" w:hAnsi="Calibri" w:cs="Calibri"/>
          <w:color w:val="000000" w:themeColor="text1"/>
        </w:rPr>
        <w:t xml:space="preserve">schools’ SAP policies include this “universal” </w:t>
      </w:r>
      <w:r w:rsidR="57008C7F" w:rsidRPr="2B56E9EE">
        <w:rPr>
          <w:rFonts w:ascii="Calibri" w:eastAsia="Calibri" w:hAnsi="Calibri" w:cs="Calibri"/>
          <w:color w:val="000000" w:themeColor="text1"/>
        </w:rPr>
        <w:t xml:space="preserve">maximum time frame </w:t>
      </w:r>
      <w:r w:rsidRPr="2B56E9EE">
        <w:rPr>
          <w:rFonts w:ascii="Calibri" w:eastAsia="Calibri" w:hAnsi="Calibri" w:cs="Calibri"/>
          <w:color w:val="000000" w:themeColor="text1"/>
        </w:rPr>
        <w:t>criteria</w:t>
      </w:r>
    </w:p>
    <w:p w14:paraId="11254827" w14:textId="27EE565B" w:rsidR="2E7386FE" w:rsidRDefault="2E7386FE" w:rsidP="2B56E9EE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2B56E9EE">
        <w:rPr>
          <w:rFonts w:ascii="Calibri" w:eastAsia="Calibri" w:hAnsi="Calibri" w:cs="Calibri"/>
          <w:color w:val="000000" w:themeColor="text1"/>
        </w:rPr>
        <w:t>Complete your undergraduate degree program in a period of no longer than 150% of the published length of the program.</w:t>
      </w:r>
    </w:p>
    <w:p w14:paraId="7EC7FE78" w14:textId="377D535A" w:rsidR="2E7386FE" w:rsidRDefault="2E7386FE" w:rsidP="2B56E9EE">
      <w:pPr>
        <w:rPr>
          <w:rFonts w:ascii="Calibri" w:eastAsia="Calibri" w:hAnsi="Calibri" w:cs="Calibri"/>
          <w:color w:val="000000" w:themeColor="text1"/>
        </w:rPr>
      </w:pPr>
      <w:r w:rsidRPr="2B56E9EE">
        <w:rPr>
          <w:rFonts w:ascii="Calibri" w:eastAsia="Calibri" w:hAnsi="Calibri" w:cs="Calibri"/>
          <w:b/>
          <w:bCs/>
          <w:color w:val="000000" w:themeColor="text1"/>
        </w:rPr>
        <w:t>M</w:t>
      </w:r>
      <w:r w:rsidR="7AB4FE7D" w:rsidRPr="2B56E9EE">
        <w:rPr>
          <w:rFonts w:ascii="Calibri" w:eastAsia="Calibri" w:hAnsi="Calibri" w:cs="Calibri"/>
          <w:b/>
          <w:bCs/>
          <w:color w:val="000000" w:themeColor="text1"/>
        </w:rPr>
        <w:t>any</w:t>
      </w:r>
      <w:r w:rsidR="7AB4FE7D" w:rsidRPr="2B56E9EE">
        <w:rPr>
          <w:rFonts w:ascii="Calibri" w:eastAsia="Calibri" w:hAnsi="Calibri" w:cs="Calibri"/>
          <w:color w:val="000000" w:themeColor="text1"/>
        </w:rPr>
        <w:t xml:space="preserve"> schools will have the following SAP policy requirements: </w:t>
      </w:r>
    </w:p>
    <w:p w14:paraId="08D41B95" w14:textId="18EC178E" w:rsidR="7AB4FE7D" w:rsidRDefault="7AB4FE7D" w:rsidP="2B56E9EE">
      <w:pPr>
        <w:pStyle w:val="ListParagraph"/>
        <w:numPr>
          <w:ilvl w:val="0"/>
          <w:numId w:val="2"/>
        </w:numPr>
        <w:rPr>
          <w:rFonts w:eastAsiaTheme="minorEastAsia"/>
          <w:color w:val="000000" w:themeColor="text1"/>
        </w:rPr>
      </w:pPr>
      <w:r w:rsidRPr="2B56E9EE">
        <w:rPr>
          <w:rFonts w:ascii="Calibri" w:eastAsia="Calibri" w:hAnsi="Calibri" w:cs="Calibri"/>
          <w:color w:val="000000" w:themeColor="text1"/>
        </w:rPr>
        <w:t>Complete 2/3 or 67% of your attempted credits</w:t>
      </w:r>
      <w:r w:rsidR="67444107" w:rsidRPr="2B56E9EE">
        <w:rPr>
          <w:rFonts w:ascii="Calibri" w:eastAsia="Calibri" w:hAnsi="Calibri" w:cs="Calibri"/>
          <w:color w:val="000000" w:themeColor="text1"/>
        </w:rPr>
        <w:t xml:space="preserve"> each semester</w:t>
      </w:r>
      <w:r w:rsidRPr="2B56E9EE">
        <w:rPr>
          <w:rFonts w:ascii="Calibri" w:eastAsia="Calibri" w:hAnsi="Calibri" w:cs="Calibri"/>
          <w:color w:val="000000" w:themeColor="text1"/>
        </w:rPr>
        <w:t>.</w:t>
      </w:r>
    </w:p>
    <w:p w14:paraId="56AB501D" w14:textId="4F56EE14" w:rsidR="7AB4FE7D" w:rsidRDefault="7AB4FE7D" w:rsidP="2B56E9EE">
      <w:pPr>
        <w:pStyle w:val="ListParagraph"/>
        <w:numPr>
          <w:ilvl w:val="0"/>
          <w:numId w:val="2"/>
        </w:numPr>
        <w:rPr>
          <w:rFonts w:eastAsiaTheme="minorEastAsia"/>
          <w:color w:val="000000" w:themeColor="text1"/>
        </w:rPr>
      </w:pPr>
      <w:r w:rsidRPr="2B56E9EE">
        <w:rPr>
          <w:rFonts w:ascii="Calibri" w:eastAsia="Calibri" w:hAnsi="Calibri" w:cs="Calibri"/>
          <w:color w:val="000000" w:themeColor="text1"/>
        </w:rPr>
        <w:t>Main</w:t>
      </w:r>
      <w:r w:rsidR="46F8028A" w:rsidRPr="2B56E9EE">
        <w:rPr>
          <w:rFonts w:ascii="Calibri" w:eastAsia="Calibri" w:hAnsi="Calibri" w:cs="Calibri"/>
          <w:color w:val="000000" w:themeColor="text1"/>
        </w:rPr>
        <w:t>tain</w:t>
      </w:r>
      <w:r w:rsidRPr="2B56E9EE">
        <w:rPr>
          <w:rFonts w:ascii="Calibri" w:eastAsia="Calibri" w:hAnsi="Calibri" w:cs="Calibri"/>
          <w:color w:val="000000" w:themeColor="text1"/>
        </w:rPr>
        <w:t xml:space="preserve"> a C-average or 2.0 GPA.</w:t>
      </w:r>
    </w:p>
    <w:p w14:paraId="43EDF350" w14:textId="345FE0C3" w:rsidR="7AB4FE7D" w:rsidRDefault="7AB4FE7D" w:rsidP="2B56E9EE">
      <w:pPr>
        <w:rPr>
          <w:rFonts w:ascii="Calibri" w:eastAsia="Calibri" w:hAnsi="Calibri" w:cs="Calibri"/>
          <w:color w:val="000000" w:themeColor="text1"/>
        </w:rPr>
      </w:pPr>
      <w:r w:rsidRPr="2B56E9EE">
        <w:rPr>
          <w:rFonts w:ascii="Calibri" w:eastAsia="Calibri" w:hAnsi="Calibri" w:cs="Calibri"/>
          <w:color w:val="000000" w:themeColor="text1"/>
        </w:rPr>
        <w:t>These SAP requirements have been deemed reasonable graduation requirement</w:t>
      </w:r>
      <w:r w:rsidR="3D79E79F" w:rsidRPr="2B56E9EE">
        <w:rPr>
          <w:rFonts w:ascii="Calibri" w:eastAsia="Calibri" w:hAnsi="Calibri" w:cs="Calibri"/>
          <w:color w:val="000000" w:themeColor="text1"/>
        </w:rPr>
        <w:t xml:space="preserve">s </w:t>
      </w:r>
      <w:r w:rsidRPr="2B56E9EE">
        <w:rPr>
          <w:rFonts w:ascii="Calibri" w:eastAsia="Calibri" w:hAnsi="Calibri" w:cs="Calibri"/>
          <w:color w:val="000000" w:themeColor="text1"/>
        </w:rPr>
        <w:t>and accurate evaluation measurement</w:t>
      </w:r>
      <w:r w:rsidR="75B8366C" w:rsidRPr="2B56E9EE">
        <w:rPr>
          <w:rFonts w:ascii="Calibri" w:eastAsia="Calibri" w:hAnsi="Calibri" w:cs="Calibri"/>
          <w:color w:val="000000" w:themeColor="text1"/>
        </w:rPr>
        <w:t>s</w:t>
      </w:r>
      <w:r w:rsidRPr="2B56E9EE">
        <w:rPr>
          <w:rFonts w:ascii="Calibri" w:eastAsia="Calibri" w:hAnsi="Calibri" w:cs="Calibri"/>
          <w:color w:val="000000" w:themeColor="text1"/>
        </w:rPr>
        <w:t xml:space="preserve"> to ensure </w:t>
      </w:r>
      <w:r w:rsidR="241EBB0A" w:rsidRPr="2B56E9EE">
        <w:rPr>
          <w:rFonts w:ascii="Calibri" w:eastAsia="Calibri" w:hAnsi="Calibri" w:cs="Calibri"/>
          <w:color w:val="000000" w:themeColor="text1"/>
        </w:rPr>
        <w:t>you will</w:t>
      </w:r>
      <w:r w:rsidRPr="2B56E9EE">
        <w:rPr>
          <w:rFonts w:ascii="Calibri" w:eastAsia="Calibri" w:hAnsi="Calibri" w:cs="Calibri"/>
          <w:color w:val="000000" w:themeColor="text1"/>
        </w:rPr>
        <w:t xml:space="preserve"> graduate in the allotted timeframe.  If </w:t>
      </w:r>
      <w:r w:rsidR="5D6219BA" w:rsidRPr="2B56E9EE">
        <w:rPr>
          <w:rFonts w:ascii="Calibri" w:eastAsia="Calibri" w:hAnsi="Calibri" w:cs="Calibri"/>
          <w:color w:val="000000" w:themeColor="text1"/>
        </w:rPr>
        <w:t>you</w:t>
      </w:r>
      <w:r w:rsidRPr="2B56E9EE">
        <w:rPr>
          <w:rFonts w:ascii="Calibri" w:eastAsia="Calibri" w:hAnsi="Calibri" w:cs="Calibri"/>
          <w:color w:val="000000" w:themeColor="text1"/>
        </w:rPr>
        <w:t xml:space="preserve"> don’t meet th</w:t>
      </w:r>
      <w:r w:rsidR="6F261208" w:rsidRPr="2B56E9EE">
        <w:rPr>
          <w:rFonts w:ascii="Calibri" w:eastAsia="Calibri" w:hAnsi="Calibri" w:cs="Calibri"/>
          <w:color w:val="000000" w:themeColor="text1"/>
        </w:rPr>
        <w:t>ese</w:t>
      </w:r>
      <w:r w:rsidRPr="2B56E9EE">
        <w:rPr>
          <w:rFonts w:ascii="Calibri" w:eastAsia="Calibri" w:hAnsi="Calibri" w:cs="Calibri"/>
          <w:color w:val="000000" w:themeColor="text1"/>
        </w:rPr>
        <w:t xml:space="preserve">, </w:t>
      </w:r>
      <w:r w:rsidR="21A2F5C9" w:rsidRPr="2B56E9EE">
        <w:rPr>
          <w:rFonts w:ascii="Calibri" w:eastAsia="Calibri" w:hAnsi="Calibri" w:cs="Calibri"/>
          <w:color w:val="000000" w:themeColor="text1"/>
        </w:rPr>
        <w:t>you</w:t>
      </w:r>
      <w:r w:rsidR="4251EBC5" w:rsidRPr="2B56E9EE">
        <w:rPr>
          <w:rFonts w:ascii="Calibri" w:eastAsia="Calibri" w:hAnsi="Calibri" w:cs="Calibri"/>
          <w:color w:val="000000" w:themeColor="text1"/>
        </w:rPr>
        <w:t xml:space="preserve"> probably won’t </w:t>
      </w:r>
      <w:proofErr w:type="gramStart"/>
      <w:r w:rsidR="4251EBC5" w:rsidRPr="2B56E9EE">
        <w:rPr>
          <w:rFonts w:ascii="Calibri" w:eastAsia="Calibri" w:hAnsi="Calibri" w:cs="Calibri"/>
          <w:color w:val="000000" w:themeColor="text1"/>
        </w:rPr>
        <w:t xml:space="preserve">be </w:t>
      </w:r>
      <w:r w:rsidRPr="2B56E9EE">
        <w:rPr>
          <w:rFonts w:ascii="Calibri" w:eastAsia="Calibri" w:hAnsi="Calibri" w:cs="Calibri"/>
          <w:color w:val="000000" w:themeColor="text1"/>
        </w:rPr>
        <w:t xml:space="preserve"> able</w:t>
      </w:r>
      <w:proofErr w:type="gramEnd"/>
      <w:r w:rsidRPr="2B56E9EE">
        <w:rPr>
          <w:rFonts w:ascii="Calibri" w:eastAsia="Calibri" w:hAnsi="Calibri" w:cs="Calibri"/>
          <w:color w:val="000000" w:themeColor="text1"/>
        </w:rPr>
        <w:t xml:space="preserve"> to catch up and graduate based on the 150% timeframe that is a “universal” requirement for colleges.  </w:t>
      </w:r>
    </w:p>
    <w:p w14:paraId="2A45FD1F" w14:textId="70831BBD" w:rsidR="7D18F7FA" w:rsidRDefault="7D18F7FA" w:rsidP="2B56E9EE">
      <w:pPr>
        <w:rPr>
          <w:rFonts w:ascii="Calibri" w:eastAsia="Calibri" w:hAnsi="Calibri" w:cs="Calibri"/>
          <w:color w:val="000000" w:themeColor="text1"/>
        </w:rPr>
      </w:pPr>
      <w:r w:rsidRPr="2B56E9EE">
        <w:rPr>
          <w:rFonts w:ascii="Calibri" w:eastAsia="Calibri" w:hAnsi="Calibri" w:cs="Calibri"/>
          <w:color w:val="000000" w:themeColor="text1"/>
        </w:rPr>
        <w:t xml:space="preserve"> Some colleges allow for an escalating GPAs (e.g. first year—1.5 </w:t>
      </w:r>
      <w:proofErr w:type="gramStart"/>
      <w:r w:rsidRPr="2B56E9EE">
        <w:rPr>
          <w:rFonts w:ascii="Calibri" w:eastAsia="Calibri" w:hAnsi="Calibri" w:cs="Calibri"/>
          <w:color w:val="000000" w:themeColor="text1"/>
        </w:rPr>
        <w:t>GPA,  2</w:t>
      </w:r>
      <w:proofErr w:type="gramEnd"/>
      <w:r w:rsidRPr="2B56E9EE">
        <w:rPr>
          <w:rFonts w:ascii="Calibri" w:eastAsia="Calibri" w:hAnsi="Calibri" w:cs="Calibri"/>
          <w:color w:val="000000" w:themeColor="text1"/>
          <w:vertAlign w:val="superscript"/>
        </w:rPr>
        <w:t>nd</w:t>
      </w:r>
      <w:r w:rsidRPr="2B56E9EE">
        <w:rPr>
          <w:rFonts w:ascii="Calibri" w:eastAsia="Calibri" w:hAnsi="Calibri" w:cs="Calibri"/>
          <w:color w:val="000000" w:themeColor="text1"/>
        </w:rPr>
        <w:t xml:space="preserve"> year—1.75 GPA by the 3</w:t>
      </w:r>
      <w:r w:rsidRPr="2B56E9EE">
        <w:rPr>
          <w:rFonts w:ascii="Calibri" w:eastAsia="Calibri" w:hAnsi="Calibri" w:cs="Calibri"/>
          <w:color w:val="000000" w:themeColor="text1"/>
          <w:vertAlign w:val="superscript"/>
        </w:rPr>
        <w:t>rd</w:t>
      </w:r>
      <w:r w:rsidRPr="2B56E9EE">
        <w:rPr>
          <w:rFonts w:ascii="Calibri" w:eastAsia="Calibri" w:hAnsi="Calibri" w:cs="Calibri"/>
          <w:color w:val="000000" w:themeColor="text1"/>
        </w:rPr>
        <w:t xml:space="preserve"> year, a student must have a 2.0 GPA) while others will have a fixed 2.0 all years of college. Some programs or colleges might allow a student to graduate with less than a C average. Some colleges count credits differently, so their completion rate could look or be interpreted differently. </w:t>
      </w:r>
      <w:proofErr w:type="gramStart"/>
      <w:r w:rsidRPr="2B56E9EE">
        <w:rPr>
          <w:rFonts w:ascii="Calibri" w:eastAsia="Calibri" w:hAnsi="Calibri" w:cs="Calibri"/>
          <w:color w:val="000000" w:themeColor="text1"/>
        </w:rPr>
        <w:t>As long as</w:t>
      </w:r>
      <w:proofErr w:type="gramEnd"/>
      <w:r w:rsidRPr="2B56E9EE">
        <w:rPr>
          <w:rFonts w:ascii="Calibri" w:eastAsia="Calibri" w:hAnsi="Calibri" w:cs="Calibri"/>
          <w:color w:val="000000" w:themeColor="text1"/>
        </w:rPr>
        <w:t xml:space="preserve"> you are meeting the requirements set by your college, you are meeting SAP.</w:t>
      </w:r>
    </w:p>
    <w:p w14:paraId="2922BC7D" w14:textId="3DA84261" w:rsidR="2C53BEB4" w:rsidRDefault="2C53BEB4" w:rsidP="2B56E9EE">
      <w:pPr>
        <w:rPr>
          <w:rFonts w:ascii="Calibri" w:eastAsia="Calibri" w:hAnsi="Calibri" w:cs="Calibri"/>
          <w:color w:val="000000" w:themeColor="text1"/>
        </w:rPr>
      </w:pPr>
      <w:r w:rsidRPr="2B56E9EE">
        <w:rPr>
          <w:rFonts w:ascii="Calibri" w:eastAsia="Calibri" w:hAnsi="Calibri" w:cs="Calibri"/>
          <w:b/>
          <w:bCs/>
          <w:color w:val="000000" w:themeColor="text1"/>
        </w:rPr>
        <w:t>What happens if I don’t meet the SAP at my college?</w:t>
      </w:r>
    </w:p>
    <w:p w14:paraId="1E1524D9" w14:textId="1C1A6224" w:rsidR="2C53BEB4" w:rsidRDefault="2C53BEB4" w:rsidP="2B56E9EE">
      <w:pPr>
        <w:rPr>
          <w:rFonts w:ascii="Calibri" w:eastAsia="Calibri" w:hAnsi="Calibri" w:cs="Calibri"/>
          <w:color w:val="000000" w:themeColor="text1"/>
        </w:rPr>
      </w:pPr>
      <w:r w:rsidRPr="2B56E9EE">
        <w:rPr>
          <w:rFonts w:ascii="Calibri" w:eastAsia="Calibri" w:hAnsi="Calibri" w:cs="Calibri"/>
          <w:color w:val="000000" w:themeColor="text1"/>
        </w:rPr>
        <w:t xml:space="preserve">Again, each school may be a bit different, but for the most part, students who fail </w:t>
      </w:r>
      <w:r w:rsidR="594C8D3D" w:rsidRPr="2B56E9EE">
        <w:rPr>
          <w:rFonts w:ascii="Calibri" w:eastAsia="Calibri" w:hAnsi="Calibri" w:cs="Calibri"/>
          <w:color w:val="000000" w:themeColor="text1"/>
        </w:rPr>
        <w:t>to meet</w:t>
      </w:r>
      <w:r w:rsidRPr="2B56E9EE">
        <w:rPr>
          <w:rFonts w:ascii="Calibri" w:eastAsia="Calibri" w:hAnsi="Calibri" w:cs="Calibri"/>
          <w:color w:val="000000" w:themeColor="text1"/>
        </w:rPr>
        <w:t xml:space="preserve"> SAP will be placed on a warning</w:t>
      </w:r>
      <w:r w:rsidR="0D72E2F8" w:rsidRPr="2B56E9EE">
        <w:rPr>
          <w:rFonts w:ascii="Calibri" w:eastAsia="Calibri" w:hAnsi="Calibri" w:cs="Calibri"/>
          <w:color w:val="000000" w:themeColor="text1"/>
        </w:rPr>
        <w:t xml:space="preserve"> or probationary</w:t>
      </w:r>
      <w:r w:rsidRPr="2B56E9EE">
        <w:rPr>
          <w:rFonts w:ascii="Calibri" w:eastAsia="Calibri" w:hAnsi="Calibri" w:cs="Calibri"/>
          <w:color w:val="000000" w:themeColor="text1"/>
        </w:rPr>
        <w:t xml:space="preserve"> status for </w:t>
      </w:r>
      <w:r w:rsidR="79D75FDD" w:rsidRPr="2B56E9EE">
        <w:rPr>
          <w:rFonts w:ascii="Calibri" w:eastAsia="Calibri" w:hAnsi="Calibri" w:cs="Calibri"/>
          <w:b/>
          <w:bCs/>
          <w:color w:val="000000" w:themeColor="text1"/>
        </w:rPr>
        <w:t>one semester</w:t>
      </w:r>
      <w:r w:rsidR="79D75FDD" w:rsidRPr="2B56E9EE">
        <w:rPr>
          <w:rFonts w:ascii="Calibri" w:eastAsia="Calibri" w:hAnsi="Calibri" w:cs="Calibri"/>
          <w:color w:val="000000" w:themeColor="text1"/>
        </w:rPr>
        <w:t xml:space="preserve">. </w:t>
      </w:r>
      <w:r w:rsidR="1017ECD1" w:rsidRPr="2B56E9EE">
        <w:rPr>
          <w:rFonts w:ascii="Calibri" w:eastAsia="Calibri" w:hAnsi="Calibri" w:cs="Calibri"/>
          <w:color w:val="000000" w:themeColor="text1"/>
        </w:rPr>
        <w:t xml:space="preserve">If you find yourself on probationary/warning status, you should most definitely be in </w:t>
      </w:r>
      <w:r w:rsidR="6EAB53F2" w:rsidRPr="2B56E9EE">
        <w:rPr>
          <w:rFonts w:ascii="Calibri" w:eastAsia="Calibri" w:hAnsi="Calibri" w:cs="Calibri"/>
          <w:color w:val="000000" w:themeColor="text1"/>
        </w:rPr>
        <w:t xml:space="preserve">regular </w:t>
      </w:r>
      <w:r w:rsidR="1017ECD1" w:rsidRPr="2B56E9EE">
        <w:rPr>
          <w:rFonts w:ascii="Calibri" w:eastAsia="Calibri" w:hAnsi="Calibri" w:cs="Calibri"/>
          <w:color w:val="000000" w:themeColor="text1"/>
        </w:rPr>
        <w:t>conversation with your financial aid advisor/counselor and your academic advisor</w:t>
      </w:r>
      <w:r w:rsidR="1645FF4C" w:rsidRPr="2B56E9EE">
        <w:rPr>
          <w:rFonts w:ascii="Calibri" w:eastAsia="Calibri" w:hAnsi="Calibri" w:cs="Calibri"/>
          <w:color w:val="000000" w:themeColor="text1"/>
        </w:rPr>
        <w:t>.</w:t>
      </w:r>
    </w:p>
    <w:p w14:paraId="0D8C581A" w14:textId="7F6790FF" w:rsidR="79D75FDD" w:rsidRDefault="79D75FDD" w:rsidP="2B56E9EE">
      <w:pPr>
        <w:rPr>
          <w:rFonts w:ascii="Calibri" w:eastAsia="Calibri" w:hAnsi="Calibri" w:cs="Calibri"/>
          <w:color w:val="000000" w:themeColor="text1"/>
        </w:rPr>
      </w:pPr>
      <w:r w:rsidRPr="2B56E9EE">
        <w:rPr>
          <w:rFonts w:ascii="Calibri" w:eastAsia="Calibri" w:hAnsi="Calibri" w:cs="Calibri"/>
          <w:color w:val="000000" w:themeColor="text1"/>
        </w:rPr>
        <w:t>If after that warning period, you meet the SAP guidelines, you will be</w:t>
      </w:r>
      <w:r w:rsidR="45B131C5" w:rsidRPr="2B56E9EE">
        <w:rPr>
          <w:rFonts w:ascii="Calibri" w:eastAsia="Calibri" w:hAnsi="Calibri" w:cs="Calibri"/>
          <w:color w:val="000000" w:themeColor="text1"/>
        </w:rPr>
        <w:t xml:space="preserve"> returned to full eligibility</w:t>
      </w:r>
      <w:r w:rsidRPr="2B56E9EE">
        <w:rPr>
          <w:rFonts w:ascii="Calibri" w:eastAsia="Calibri" w:hAnsi="Calibri" w:cs="Calibri"/>
          <w:color w:val="000000" w:themeColor="text1"/>
        </w:rPr>
        <w:t>.</w:t>
      </w:r>
      <w:r w:rsidRPr="2B56E9EE">
        <w:rPr>
          <w:rFonts w:ascii="Calibri" w:eastAsia="Calibri" w:hAnsi="Calibri" w:cs="Calibri"/>
          <w:b/>
          <w:bCs/>
          <w:color w:val="000000" w:themeColor="text1"/>
        </w:rPr>
        <w:t xml:space="preserve"> If, however, you </w:t>
      </w:r>
      <w:r w:rsidR="704BCB32" w:rsidRPr="2B56E9EE">
        <w:rPr>
          <w:rFonts w:ascii="Calibri" w:eastAsia="Calibri" w:hAnsi="Calibri" w:cs="Calibri"/>
          <w:b/>
          <w:bCs/>
          <w:color w:val="000000" w:themeColor="text1"/>
        </w:rPr>
        <w:t xml:space="preserve">are still not meeting SAP eligibility requirements, you will be ineligible for financial aid for the next semester. </w:t>
      </w:r>
    </w:p>
    <w:p w14:paraId="25ABAC93" w14:textId="0D77174E" w:rsidR="5934D3B7" w:rsidRDefault="5934D3B7" w:rsidP="2B56E9EE">
      <w:pPr>
        <w:rPr>
          <w:rFonts w:ascii="Calibri" w:eastAsia="Calibri" w:hAnsi="Calibri" w:cs="Calibri"/>
          <w:color w:val="000000" w:themeColor="text1"/>
        </w:rPr>
      </w:pPr>
      <w:r w:rsidRPr="2B56E9EE">
        <w:rPr>
          <w:rFonts w:ascii="Calibri" w:eastAsia="Calibri" w:hAnsi="Calibri" w:cs="Calibri"/>
          <w:b/>
          <w:bCs/>
          <w:color w:val="000000" w:themeColor="text1"/>
        </w:rPr>
        <w:t xml:space="preserve">How can I get my financial aid back if I lose it? </w:t>
      </w:r>
      <w:r w:rsidR="3C8A42BC" w:rsidRPr="2B56E9EE">
        <w:rPr>
          <w:rFonts w:ascii="Calibri" w:eastAsia="Calibri" w:hAnsi="Calibri" w:cs="Calibri"/>
          <w:color w:val="000000" w:themeColor="text1"/>
        </w:rPr>
        <w:t xml:space="preserve"> </w:t>
      </w:r>
    </w:p>
    <w:p w14:paraId="297D5A77" w14:textId="06903344" w:rsidR="3C8A42BC" w:rsidRDefault="3C8A42BC" w:rsidP="2B56E9EE">
      <w:pPr>
        <w:rPr>
          <w:rFonts w:ascii="Calibri" w:eastAsia="Calibri" w:hAnsi="Calibri" w:cs="Calibri"/>
          <w:b/>
          <w:bCs/>
          <w:color w:val="000000" w:themeColor="text1"/>
        </w:rPr>
      </w:pPr>
      <w:r w:rsidRPr="2B56E9EE">
        <w:rPr>
          <w:rFonts w:ascii="Calibri" w:eastAsia="Calibri" w:hAnsi="Calibri" w:cs="Calibri"/>
          <w:color w:val="000000" w:themeColor="text1"/>
        </w:rPr>
        <w:t xml:space="preserve">Most colleges allow for some sort of </w:t>
      </w:r>
      <w:r w:rsidR="48B538E5" w:rsidRPr="2B56E9EE">
        <w:rPr>
          <w:rFonts w:ascii="Calibri" w:eastAsia="Calibri" w:hAnsi="Calibri" w:cs="Calibri"/>
          <w:color w:val="000000" w:themeColor="text1"/>
        </w:rPr>
        <w:t xml:space="preserve">formal </w:t>
      </w:r>
      <w:r w:rsidRPr="2B56E9EE">
        <w:rPr>
          <w:rFonts w:ascii="Calibri" w:eastAsia="Calibri" w:hAnsi="Calibri" w:cs="Calibri"/>
          <w:color w:val="000000" w:themeColor="text1"/>
        </w:rPr>
        <w:t xml:space="preserve">appeals process, to be initiated by the student. </w:t>
      </w:r>
      <w:r w:rsidR="3FCECD83" w:rsidRPr="2B56E9EE">
        <w:rPr>
          <w:rFonts w:ascii="Calibri" w:eastAsia="Calibri" w:hAnsi="Calibri" w:cs="Calibri"/>
          <w:color w:val="000000" w:themeColor="text1"/>
        </w:rPr>
        <w:t>Again, consult your college’s policy for specifics.</w:t>
      </w:r>
    </w:p>
    <w:p w14:paraId="16DDAD33" w14:textId="0D2F5727" w:rsidR="7AB4FE7D" w:rsidRDefault="7AB4FE7D" w:rsidP="2B56E9EE">
      <w:pPr>
        <w:rPr>
          <w:rFonts w:ascii="Calibri" w:eastAsia="Calibri" w:hAnsi="Calibri" w:cs="Calibri"/>
          <w:b/>
          <w:bCs/>
          <w:color w:val="000000" w:themeColor="text1"/>
        </w:rPr>
      </w:pPr>
      <w:r w:rsidRPr="2B56E9EE">
        <w:rPr>
          <w:rFonts w:ascii="Calibri" w:eastAsia="Calibri" w:hAnsi="Calibri" w:cs="Calibri"/>
          <w:b/>
          <w:bCs/>
          <w:color w:val="000000" w:themeColor="text1"/>
        </w:rPr>
        <w:lastRenderedPageBreak/>
        <w:t xml:space="preserve"> </w:t>
      </w:r>
      <w:r w:rsidR="1FC02FC7" w:rsidRPr="2B56E9EE">
        <w:rPr>
          <w:rFonts w:ascii="Calibri" w:eastAsia="Calibri" w:hAnsi="Calibri" w:cs="Calibri"/>
          <w:b/>
          <w:bCs/>
          <w:color w:val="000000" w:themeColor="text1"/>
        </w:rPr>
        <w:t xml:space="preserve">What defines SAP at my college? </w:t>
      </w:r>
    </w:p>
    <w:p w14:paraId="00ED922A" w14:textId="27A62F71" w:rsidR="7877C1CB" w:rsidRDefault="7877C1CB" w:rsidP="2B56E9EE">
      <w:pPr>
        <w:rPr>
          <w:rFonts w:ascii="Calibri" w:eastAsia="Calibri" w:hAnsi="Calibri" w:cs="Calibri"/>
          <w:color w:val="000000" w:themeColor="text1"/>
        </w:rPr>
      </w:pPr>
      <w:r w:rsidRPr="2B56E9EE">
        <w:rPr>
          <w:rFonts w:ascii="Calibri" w:eastAsia="Calibri" w:hAnsi="Calibri" w:cs="Calibri"/>
          <w:color w:val="000000" w:themeColor="text1"/>
        </w:rPr>
        <w:t>Sample of c</w:t>
      </w:r>
      <w:r w:rsidR="7231C79D" w:rsidRPr="2B56E9EE">
        <w:rPr>
          <w:rFonts w:ascii="Calibri" w:eastAsia="Calibri" w:hAnsi="Calibri" w:cs="Calibri"/>
          <w:color w:val="000000" w:themeColor="text1"/>
        </w:rPr>
        <w:t xml:space="preserve">urrent </w:t>
      </w:r>
      <w:r w:rsidR="463563E7" w:rsidRPr="2B56E9EE">
        <w:rPr>
          <w:rFonts w:ascii="Calibri" w:eastAsia="Calibri" w:hAnsi="Calibri" w:cs="Calibri"/>
          <w:color w:val="000000" w:themeColor="text1"/>
        </w:rPr>
        <w:t>c</w:t>
      </w:r>
      <w:r w:rsidR="7AB4FE7D" w:rsidRPr="2B56E9EE">
        <w:rPr>
          <w:rFonts w:ascii="Calibri" w:eastAsia="Calibri" w:hAnsi="Calibri" w:cs="Calibri"/>
          <w:color w:val="000000" w:themeColor="text1"/>
        </w:rPr>
        <w:t xml:space="preserve">olleges where our students </w:t>
      </w:r>
      <w:r w:rsidR="49175B27" w:rsidRPr="2B56E9EE">
        <w:rPr>
          <w:rFonts w:ascii="Calibri" w:eastAsia="Calibri" w:hAnsi="Calibri" w:cs="Calibri"/>
          <w:color w:val="000000" w:themeColor="text1"/>
        </w:rPr>
        <w:t>are enrolled</w:t>
      </w:r>
      <w:r w:rsidR="7AB4FE7D" w:rsidRPr="2B56E9EE">
        <w:rPr>
          <w:rFonts w:ascii="Calibri" w:eastAsia="Calibri" w:hAnsi="Calibri" w:cs="Calibri"/>
          <w:color w:val="000000" w:themeColor="text1"/>
        </w:rPr>
        <w:t>:</w:t>
      </w:r>
    </w:p>
    <w:p w14:paraId="4D418988" w14:textId="4E2761F6" w:rsidR="7AB4FE7D" w:rsidRDefault="00DC3B93" w:rsidP="2B56E9EE">
      <w:pPr>
        <w:pStyle w:val="ListParagraph"/>
        <w:numPr>
          <w:ilvl w:val="0"/>
          <w:numId w:val="2"/>
        </w:numPr>
        <w:rPr>
          <w:rFonts w:eastAsiaTheme="minorEastAsia"/>
          <w:color w:val="0563C1"/>
        </w:rPr>
      </w:pPr>
      <w:hyperlink r:id="rId8">
        <w:r w:rsidR="7AB4FE7D" w:rsidRPr="2B56E9EE">
          <w:rPr>
            <w:rStyle w:val="Hyperlink"/>
            <w:rFonts w:ascii="Calibri" w:eastAsia="Calibri" w:hAnsi="Calibri" w:cs="Calibri"/>
          </w:rPr>
          <w:t>UCCS</w:t>
        </w:r>
      </w:hyperlink>
    </w:p>
    <w:p w14:paraId="0A0562F0" w14:textId="73D3630B" w:rsidR="7AB4FE7D" w:rsidRDefault="00DC3B93" w:rsidP="2B56E9EE">
      <w:pPr>
        <w:pStyle w:val="ListParagraph"/>
        <w:numPr>
          <w:ilvl w:val="0"/>
          <w:numId w:val="2"/>
        </w:numPr>
        <w:rPr>
          <w:rFonts w:eastAsiaTheme="minorEastAsia"/>
          <w:color w:val="0563C1"/>
        </w:rPr>
      </w:pPr>
      <w:hyperlink r:id="rId9">
        <w:r w:rsidR="7AB4FE7D" w:rsidRPr="2B56E9EE">
          <w:rPr>
            <w:rStyle w:val="Hyperlink"/>
            <w:rFonts w:ascii="Calibri" w:eastAsia="Calibri" w:hAnsi="Calibri" w:cs="Calibri"/>
          </w:rPr>
          <w:t>CSU</w:t>
        </w:r>
      </w:hyperlink>
    </w:p>
    <w:p w14:paraId="0AF3171E" w14:textId="48E4E0AE" w:rsidR="7AB4FE7D" w:rsidRDefault="00DC3B93" w:rsidP="2B56E9EE">
      <w:pPr>
        <w:pStyle w:val="ListParagraph"/>
        <w:numPr>
          <w:ilvl w:val="0"/>
          <w:numId w:val="2"/>
        </w:numPr>
        <w:rPr>
          <w:rFonts w:eastAsiaTheme="minorEastAsia"/>
          <w:color w:val="0563C1"/>
        </w:rPr>
      </w:pPr>
      <w:hyperlink r:id="rId10">
        <w:r w:rsidR="7AB4FE7D" w:rsidRPr="2B56E9EE">
          <w:rPr>
            <w:rStyle w:val="Hyperlink"/>
            <w:rFonts w:ascii="Calibri" w:eastAsia="Calibri" w:hAnsi="Calibri" w:cs="Calibri"/>
          </w:rPr>
          <w:t>CC</w:t>
        </w:r>
      </w:hyperlink>
      <w:r w:rsidR="7AB4FE7D" w:rsidRPr="2B56E9EE">
        <w:rPr>
          <w:rFonts w:ascii="Calibri" w:eastAsia="Calibri" w:hAnsi="Calibri" w:cs="Calibri"/>
          <w:color w:val="000000" w:themeColor="text1"/>
        </w:rPr>
        <w:t xml:space="preserve"> (escalating GPA and different credit requirements)</w:t>
      </w:r>
    </w:p>
    <w:p w14:paraId="1F0F3DE0" w14:textId="433841FA" w:rsidR="7AB4FE7D" w:rsidRDefault="00DC3B93" w:rsidP="2B56E9EE">
      <w:pPr>
        <w:pStyle w:val="ListParagraph"/>
        <w:numPr>
          <w:ilvl w:val="0"/>
          <w:numId w:val="2"/>
        </w:numPr>
        <w:rPr>
          <w:rFonts w:eastAsiaTheme="minorEastAsia"/>
          <w:color w:val="0563C1"/>
        </w:rPr>
      </w:pPr>
      <w:hyperlink r:id="rId11">
        <w:r w:rsidR="7AB4FE7D" w:rsidRPr="2B56E9EE">
          <w:rPr>
            <w:rStyle w:val="Hyperlink"/>
            <w:rFonts w:ascii="Calibri" w:eastAsia="Calibri" w:hAnsi="Calibri" w:cs="Calibri"/>
          </w:rPr>
          <w:t>Berea</w:t>
        </w:r>
      </w:hyperlink>
    </w:p>
    <w:p w14:paraId="2353620A" w14:textId="007D3EAD" w:rsidR="7AB4FE7D" w:rsidRDefault="00DC3B93" w:rsidP="2B56E9EE">
      <w:pPr>
        <w:pStyle w:val="ListParagraph"/>
        <w:numPr>
          <w:ilvl w:val="0"/>
          <w:numId w:val="2"/>
        </w:numPr>
        <w:rPr>
          <w:rFonts w:eastAsiaTheme="minorEastAsia"/>
          <w:color w:val="0563C1"/>
        </w:rPr>
      </w:pPr>
      <w:hyperlink r:id="rId12" w:anchor=":~:text=Qualitative%20Standard,or%20better%20each%20year%20thereafter.">
        <w:r w:rsidR="7AB4FE7D" w:rsidRPr="2B56E9EE">
          <w:rPr>
            <w:rStyle w:val="Hyperlink"/>
            <w:rFonts w:ascii="Calibri" w:eastAsia="Calibri" w:hAnsi="Calibri" w:cs="Calibri"/>
          </w:rPr>
          <w:t>Northeastern</w:t>
        </w:r>
      </w:hyperlink>
      <w:r w:rsidR="7AB4FE7D" w:rsidRPr="2B56E9EE">
        <w:rPr>
          <w:rFonts w:ascii="Calibri" w:eastAsia="Calibri" w:hAnsi="Calibri" w:cs="Calibri"/>
          <w:color w:val="000000" w:themeColor="text1"/>
        </w:rPr>
        <w:t xml:space="preserve"> (shows an escalating GPA example)</w:t>
      </w:r>
    </w:p>
    <w:p w14:paraId="5B04AACB" w14:textId="2931F2A7" w:rsidR="09B753D1" w:rsidRDefault="00DC3B93" w:rsidP="2B56E9EE">
      <w:pPr>
        <w:pStyle w:val="ListParagraph"/>
        <w:numPr>
          <w:ilvl w:val="0"/>
          <w:numId w:val="2"/>
        </w:numPr>
        <w:rPr>
          <w:color w:val="000000" w:themeColor="text1"/>
        </w:rPr>
      </w:pPr>
      <w:hyperlink r:id="rId13">
        <w:r w:rsidR="09B753D1" w:rsidRPr="2B56E9EE">
          <w:rPr>
            <w:rStyle w:val="Hyperlink"/>
            <w:rFonts w:ascii="Calibri" w:eastAsia="Calibri" w:hAnsi="Calibri" w:cs="Calibri"/>
          </w:rPr>
          <w:t>PPCC</w:t>
        </w:r>
      </w:hyperlink>
    </w:p>
    <w:p w14:paraId="7DA968CC" w14:textId="4832A7E2" w:rsidR="09224475" w:rsidRDefault="00DC3B93" w:rsidP="2B56E9EE">
      <w:pPr>
        <w:pStyle w:val="ListParagraph"/>
        <w:numPr>
          <w:ilvl w:val="0"/>
          <w:numId w:val="2"/>
        </w:numPr>
        <w:rPr>
          <w:color w:val="0563C1"/>
        </w:rPr>
      </w:pPr>
      <w:hyperlink r:id="rId14">
        <w:r w:rsidR="09224475" w:rsidRPr="2B56E9EE">
          <w:rPr>
            <w:rStyle w:val="Hyperlink"/>
            <w:rFonts w:ascii="Calibri" w:eastAsia="Calibri" w:hAnsi="Calibri" w:cs="Calibri"/>
          </w:rPr>
          <w:t>DU</w:t>
        </w:r>
      </w:hyperlink>
    </w:p>
    <w:p w14:paraId="0591F90F" w14:textId="5D038129" w:rsidR="2B56E9EE" w:rsidRDefault="2B56E9EE" w:rsidP="2B56E9EE">
      <w:pPr>
        <w:pStyle w:val="ListParagraph"/>
        <w:numPr>
          <w:ilvl w:val="0"/>
          <w:numId w:val="2"/>
        </w:numPr>
        <w:rPr>
          <w:color w:val="0563C1"/>
        </w:rPr>
      </w:pPr>
    </w:p>
    <w:p w14:paraId="1DA074BA" w14:textId="2488387B" w:rsidR="7AB4FE7D" w:rsidRDefault="7AB4FE7D">
      <w:r w:rsidRPr="2B56E9EE">
        <w:rPr>
          <w:rFonts w:ascii="Calibri" w:eastAsia="Calibri" w:hAnsi="Calibri" w:cs="Calibri"/>
          <w:color w:val="000000" w:themeColor="text1"/>
        </w:rPr>
        <w:t xml:space="preserve"> </w:t>
      </w:r>
    </w:p>
    <w:sectPr w:rsidR="7AB4FE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A30C38"/>
    <w:multiLevelType w:val="hybridMultilevel"/>
    <w:tmpl w:val="BF747C0C"/>
    <w:lvl w:ilvl="0" w:tplc="450A1E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946E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0870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3229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A6FA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4E28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C000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D4BA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EAEC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CF5B00"/>
    <w:multiLevelType w:val="hybridMultilevel"/>
    <w:tmpl w:val="FFFFFFFF"/>
    <w:lvl w:ilvl="0" w:tplc="8FFA11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6EB4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56FE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3C89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422B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4893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C29A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A673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E0A7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A3301BC"/>
    <w:rsid w:val="00101446"/>
    <w:rsid w:val="0081723E"/>
    <w:rsid w:val="00910CE1"/>
    <w:rsid w:val="00DC3B93"/>
    <w:rsid w:val="01118C30"/>
    <w:rsid w:val="05724A2A"/>
    <w:rsid w:val="08F27A54"/>
    <w:rsid w:val="09224475"/>
    <w:rsid w:val="09B753D1"/>
    <w:rsid w:val="0C2A1B16"/>
    <w:rsid w:val="0C78BEA1"/>
    <w:rsid w:val="0CEEB0D6"/>
    <w:rsid w:val="0D72E2F8"/>
    <w:rsid w:val="0E80A571"/>
    <w:rsid w:val="100D668A"/>
    <w:rsid w:val="1017ECD1"/>
    <w:rsid w:val="10FD8C39"/>
    <w:rsid w:val="144E5558"/>
    <w:rsid w:val="15EA25B9"/>
    <w:rsid w:val="1645FF4C"/>
    <w:rsid w:val="178DE2A5"/>
    <w:rsid w:val="1E1FE5DF"/>
    <w:rsid w:val="1E255C4E"/>
    <w:rsid w:val="1E8864AB"/>
    <w:rsid w:val="1F27B0EE"/>
    <w:rsid w:val="1FC02FC7"/>
    <w:rsid w:val="1FE60AD5"/>
    <w:rsid w:val="212CD860"/>
    <w:rsid w:val="21A2F5C9"/>
    <w:rsid w:val="23A34357"/>
    <w:rsid w:val="241EBB0A"/>
    <w:rsid w:val="24A84121"/>
    <w:rsid w:val="26C1BBBC"/>
    <w:rsid w:val="27490F4C"/>
    <w:rsid w:val="2A3E2197"/>
    <w:rsid w:val="2ABA9249"/>
    <w:rsid w:val="2B559173"/>
    <w:rsid w:val="2B56E9EE"/>
    <w:rsid w:val="2C53BEB4"/>
    <w:rsid w:val="2E7386FE"/>
    <w:rsid w:val="30689E02"/>
    <w:rsid w:val="31A8F300"/>
    <w:rsid w:val="32046E63"/>
    <w:rsid w:val="35AA3A58"/>
    <w:rsid w:val="35AA63EC"/>
    <w:rsid w:val="3648FA75"/>
    <w:rsid w:val="38CB772C"/>
    <w:rsid w:val="3AC3B202"/>
    <w:rsid w:val="3C8A42BC"/>
    <w:rsid w:val="3C8DF58F"/>
    <w:rsid w:val="3D4F0E90"/>
    <w:rsid w:val="3D79E79F"/>
    <w:rsid w:val="3FBA2434"/>
    <w:rsid w:val="3FCECD83"/>
    <w:rsid w:val="406D86F5"/>
    <w:rsid w:val="4251EBC5"/>
    <w:rsid w:val="45B131C5"/>
    <w:rsid w:val="460A1A6E"/>
    <w:rsid w:val="4612817E"/>
    <w:rsid w:val="463563E7"/>
    <w:rsid w:val="4696B3A0"/>
    <w:rsid w:val="46EE0350"/>
    <w:rsid w:val="46F8028A"/>
    <w:rsid w:val="4889D3B1"/>
    <w:rsid w:val="48B538E5"/>
    <w:rsid w:val="49175B27"/>
    <w:rsid w:val="4C5FE6BB"/>
    <w:rsid w:val="4F08EF46"/>
    <w:rsid w:val="4FFF4C87"/>
    <w:rsid w:val="519B1CE8"/>
    <w:rsid w:val="5263431F"/>
    <w:rsid w:val="550AA905"/>
    <w:rsid w:val="57008C7F"/>
    <w:rsid w:val="574AE59A"/>
    <w:rsid w:val="5934D3B7"/>
    <w:rsid w:val="594C8D3D"/>
    <w:rsid w:val="5D6219BA"/>
    <w:rsid w:val="5DB17BFE"/>
    <w:rsid w:val="62BD2EE8"/>
    <w:rsid w:val="64785F69"/>
    <w:rsid w:val="64C5323E"/>
    <w:rsid w:val="65335D71"/>
    <w:rsid w:val="67444107"/>
    <w:rsid w:val="68ECACAB"/>
    <w:rsid w:val="6B3473C2"/>
    <w:rsid w:val="6B3C604D"/>
    <w:rsid w:val="6E4931B0"/>
    <w:rsid w:val="6EAB53F2"/>
    <w:rsid w:val="6F261208"/>
    <w:rsid w:val="70074D6D"/>
    <w:rsid w:val="704BCB32"/>
    <w:rsid w:val="7223600E"/>
    <w:rsid w:val="7231C79D"/>
    <w:rsid w:val="728835A0"/>
    <w:rsid w:val="7394887D"/>
    <w:rsid w:val="75B8366C"/>
    <w:rsid w:val="7877C1CB"/>
    <w:rsid w:val="79959ECE"/>
    <w:rsid w:val="79D75FDD"/>
    <w:rsid w:val="7A3301BC"/>
    <w:rsid w:val="7A8B59FF"/>
    <w:rsid w:val="7A914F47"/>
    <w:rsid w:val="7AB4FE7D"/>
    <w:rsid w:val="7B395CB5"/>
    <w:rsid w:val="7BC612F9"/>
    <w:rsid w:val="7D18F7FA"/>
    <w:rsid w:val="7F64C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301BC"/>
  <w15:chartTrackingRefBased/>
  <w15:docId w15:val="{D5765D45-8CB5-487E-BE8E-A49641A75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naid.uccs.edu/policies/sap" TargetMode="External"/><Relationship Id="rId13" Type="http://schemas.openxmlformats.org/officeDocument/2006/relationships/hyperlink" Target="https://www.ppcc.edu/financial-aid-office/faq/requirements-and-eligibility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studentfinance.northeastern.edu/policies-procedures/satisfactory-academic-progress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berea.edu/student-financial-aid/satisfactory-academic-progress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coloradocollege.edu/basics/welcome/leadership/policies/satisfactory-academic-progress-policy.html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financialaid.colostate.edu/satisfactory-progress/" TargetMode="External"/><Relationship Id="rId14" Type="http://schemas.openxmlformats.org/officeDocument/2006/relationships/hyperlink" Target="https://www.du.edu/admission-aid/financial-aid-scholarships/undergraduate-financial-aid/policies-maintaining-aid/sa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1DDEF67510D74F9C2AB9377D350D6C" ma:contentTypeVersion="13" ma:contentTypeDescription="Create a new document." ma:contentTypeScope="" ma:versionID="8e0db81ac1cf1f702e064b3852660004">
  <xsd:schema xmlns:xsd="http://www.w3.org/2001/XMLSchema" xmlns:xs="http://www.w3.org/2001/XMLSchema" xmlns:p="http://schemas.microsoft.com/office/2006/metadata/properties" xmlns:ns2="bd338191-64bd-45f5-af87-49f1aacb86b0" xmlns:ns3="ff65cd61-610d-4797-a3fa-851917a5b6c0" targetNamespace="http://schemas.microsoft.com/office/2006/metadata/properties" ma:root="true" ma:fieldsID="5b2da2944421ee7fc186ad1b79f16609" ns2:_="" ns3:_="">
    <xsd:import namespace="bd338191-64bd-45f5-af87-49f1aacb86b0"/>
    <xsd:import namespace="ff65cd61-610d-4797-a3fa-851917a5b6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338191-64bd-45f5-af87-49f1aacb86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cd61-610d-4797-a3fa-851917a5b6c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15916F-87F5-4AB3-98C4-16C45E37FC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338191-64bd-45f5-af87-49f1aacb86b0"/>
    <ds:schemaRef ds:uri="ff65cd61-610d-4797-a3fa-851917a5b6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D28BCA-FA2A-4A22-A0AD-DEF88F543E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C8E43F1-F7E6-47B7-9FBF-6027161823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3000</Characters>
  <Application>Microsoft Office Word</Application>
  <DocSecurity>0</DocSecurity>
  <Lines>25</Lines>
  <Paragraphs>7</Paragraphs>
  <ScaleCrop>false</ScaleCrop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Taylor</dc:creator>
  <cp:keywords/>
  <dc:description/>
  <cp:lastModifiedBy>Anne Taylor</cp:lastModifiedBy>
  <cp:revision>2</cp:revision>
  <cp:lastPrinted>2021-11-02T17:01:00Z</cp:lastPrinted>
  <dcterms:created xsi:type="dcterms:W3CDTF">2021-11-02T17:01:00Z</dcterms:created>
  <dcterms:modified xsi:type="dcterms:W3CDTF">2021-11-02T17:01:00Z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0x010100231DDEF67510D74F9C2AB9377D350D6C</vt:lpwstr>
  </property>
</Properties>
</file>